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17747A" w14:textId="77777777" w:rsidR="004F26C4" w:rsidRPr="004F26C4" w:rsidRDefault="004F26C4" w:rsidP="004F26C4">
            <w:pPr>
              <w:spacing w:before="240"/>
              <w:rPr>
                <w:rFonts w:cstheme="minorHAnsi"/>
                <w:sz w:val="16"/>
                <w:szCs w:val="16"/>
              </w:rPr>
            </w:pPr>
            <w:proofErr w:type="spellStart"/>
            <w:r w:rsidRPr="004F26C4">
              <w:rPr>
                <w:rFonts w:cstheme="minorHAnsi"/>
                <w:sz w:val="16"/>
                <w:szCs w:val="16"/>
              </w:rPr>
              <w:t>Sadilkova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, L., Paluch, Z.,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Mottlova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Bednar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, F.,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, S.: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effect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selected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pre-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analytical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phase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variables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on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plasma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thromboxane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A₂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measurements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4F26C4">
              <w:rPr>
                <w:rFonts w:cstheme="minorHAnsi"/>
                <w:i/>
                <w:sz w:val="16"/>
                <w:szCs w:val="16"/>
              </w:rPr>
              <w:t>humans</w:t>
            </w:r>
            <w:proofErr w:type="spellEnd"/>
            <w:r w:rsidRPr="004F26C4">
              <w:rPr>
                <w:rFonts w:cstheme="minorHAnsi"/>
                <w:i/>
                <w:sz w:val="16"/>
                <w:szCs w:val="16"/>
              </w:rPr>
              <w:t>.</w:t>
            </w:r>
            <w:r w:rsidRPr="004F26C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Int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Lab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Hematol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. 2013 Feb;35(1):92-100.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: 10.1111/j.1751-553X.2012.01458.x.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 2012 </w:t>
            </w:r>
            <w:proofErr w:type="spellStart"/>
            <w:r w:rsidRPr="004F26C4">
              <w:rPr>
                <w:rFonts w:cstheme="minorHAnsi"/>
                <w:sz w:val="16"/>
                <w:szCs w:val="16"/>
              </w:rPr>
              <w:t>Aug</w:t>
            </w:r>
            <w:proofErr w:type="spellEnd"/>
            <w:r w:rsidRPr="004F26C4">
              <w:rPr>
                <w:rFonts w:cstheme="minorHAnsi"/>
                <w:sz w:val="16"/>
                <w:szCs w:val="16"/>
              </w:rPr>
              <w:t xml:space="preserve"> 22. PMID: 22908995.</w:t>
            </w:r>
          </w:p>
          <w:p w14:paraId="693EC645" w14:textId="185879BB" w:rsidR="00546FD1" w:rsidRPr="00730631" w:rsidRDefault="00546FD1" w:rsidP="00546FD1">
            <w:pPr>
              <w:spacing w:after="0"/>
              <w:rPr>
                <w:i/>
              </w:rPr>
            </w:pP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7111DB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26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12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A33A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65CF4" w14:textId="77777777" w:rsidR="00A33A5B" w:rsidRDefault="00A33A5B">
      <w:pPr>
        <w:spacing w:line="240" w:lineRule="auto"/>
      </w:pPr>
      <w:r>
        <w:separator/>
      </w:r>
    </w:p>
  </w:endnote>
  <w:endnote w:type="continuationSeparator" w:id="0">
    <w:p w14:paraId="4A578938" w14:textId="77777777" w:rsidR="00A33A5B" w:rsidRDefault="00A33A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D72F6" w14:textId="77777777" w:rsidR="00A33A5B" w:rsidRDefault="00A33A5B">
      <w:pPr>
        <w:spacing w:after="0"/>
      </w:pPr>
      <w:r>
        <w:separator/>
      </w:r>
    </w:p>
  </w:footnote>
  <w:footnote w:type="continuationSeparator" w:id="0">
    <w:p w14:paraId="3892053F" w14:textId="77777777" w:rsidR="00A33A5B" w:rsidRDefault="00A33A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4C0ADE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A33A5B"/>
    <w:rsid w:val="00A5352A"/>
    <w:rsid w:val="00AA7409"/>
    <w:rsid w:val="00BC227E"/>
    <w:rsid w:val="00BF53DD"/>
    <w:rsid w:val="00CF4AE3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894</Words>
  <Characters>5101</Characters>
  <Application>Microsoft Office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2022-06-10T12:38:00Z</dcterms:created>
  <dcterms:modified xsi:type="dcterms:W3CDTF">2022-06-10T12:38:00Z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